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C7E9E" w14:paraId="67DDBCA0" w14:textId="77777777">
        <w:tblPrEx>
          <w:tblCellMar>
            <w:top w:w="0" w:type="dxa"/>
            <w:bottom w:w="0" w:type="dxa"/>
          </w:tblCellMar>
        </w:tblPrEx>
        <w:trPr>
          <w:tblCellSpacing w:w="60" w:type="dxa"/>
        </w:trPr>
        <w:tc>
          <w:tcPr>
            <w:tcW w:w="1200" w:type="pct"/>
            <w:shd w:val="clear" w:color="auto" w:fill="E7F0F9"/>
          </w:tcPr>
          <w:p w14:paraId="15CCD5D7" w14:textId="77777777" w:rsidR="00BC7E9E" w:rsidRDefault="00000000">
            <w:pPr>
              <w:spacing w:after="0" w:line="240" w:lineRule="auto"/>
            </w:pPr>
            <w:r>
              <w:rPr>
                <w:b/>
              </w:rPr>
              <w:t>RKP broj</w:t>
            </w:r>
          </w:p>
        </w:tc>
        <w:tc>
          <w:tcPr>
            <w:tcW w:w="0" w:type="auto"/>
            <w:shd w:val="clear" w:color="auto" w:fill="E7F0F9"/>
          </w:tcPr>
          <w:p w14:paraId="6E344F93" w14:textId="77777777" w:rsidR="00BC7E9E" w:rsidRDefault="00000000">
            <w:pPr>
              <w:spacing w:after="0" w:line="240" w:lineRule="auto"/>
            </w:pPr>
            <w:r>
              <w:t>22824</w:t>
            </w:r>
          </w:p>
        </w:tc>
      </w:tr>
      <w:tr w:rsidR="00BC7E9E" w14:paraId="5EA541E2" w14:textId="77777777">
        <w:tblPrEx>
          <w:tblCellMar>
            <w:top w:w="0" w:type="dxa"/>
            <w:bottom w:w="0" w:type="dxa"/>
          </w:tblCellMar>
        </w:tblPrEx>
        <w:trPr>
          <w:tblCellSpacing w:w="60" w:type="dxa"/>
        </w:trPr>
        <w:tc>
          <w:tcPr>
            <w:tcW w:w="1200" w:type="pct"/>
            <w:shd w:val="clear" w:color="auto" w:fill="E7F0F9"/>
          </w:tcPr>
          <w:p w14:paraId="409A3AA4" w14:textId="77777777" w:rsidR="00BC7E9E" w:rsidRDefault="00000000">
            <w:pPr>
              <w:spacing w:after="0" w:line="240" w:lineRule="auto"/>
            </w:pPr>
            <w:r>
              <w:rPr>
                <w:b/>
              </w:rPr>
              <w:t>Naziv obveznika</w:t>
            </w:r>
          </w:p>
        </w:tc>
        <w:tc>
          <w:tcPr>
            <w:tcW w:w="0" w:type="auto"/>
            <w:shd w:val="clear" w:color="auto" w:fill="E7F0F9"/>
          </w:tcPr>
          <w:p w14:paraId="77C86A5C" w14:textId="77777777" w:rsidR="00BC7E9E" w:rsidRDefault="00000000">
            <w:pPr>
              <w:spacing w:after="0" w:line="240" w:lineRule="auto"/>
            </w:pPr>
            <w:r>
              <w:t>VELEUČILIŠTE U ŠIBENIKU</w:t>
            </w:r>
          </w:p>
        </w:tc>
      </w:tr>
      <w:tr w:rsidR="00BC7E9E" w14:paraId="68E26541" w14:textId="77777777">
        <w:tblPrEx>
          <w:tblCellMar>
            <w:top w:w="0" w:type="dxa"/>
            <w:bottom w:w="0" w:type="dxa"/>
          </w:tblCellMar>
        </w:tblPrEx>
        <w:trPr>
          <w:tblCellSpacing w:w="60" w:type="dxa"/>
        </w:trPr>
        <w:tc>
          <w:tcPr>
            <w:tcW w:w="1200" w:type="pct"/>
            <w:shd w:val="clear" w:color="auto" w:fill="E7F0F9"/>
          </w:tcPr>
          <w:p w14:paraId="04DD5BB0" w14:textId="77777777" w:rsidR="00BC7E9E" w:rsidRDefault="00000000">
            <w:pPr>
              <w:spacing w:after="0" w:line="240" w:lineRule="auto"/>
            </w:pPr>
            <w:r>
              <w:rPr>
                <w:b/>
              </w:rPr>
              <w:t>Razina</w:t>
            </w:r>
          </w:p>
        </w:tc>
        <w:tc>
          <w:tcPr>
            <w:tcW w:w="0" w:type="auto"/>
            <w:shd w:val="clear" w:color="auto" w:fill="E7F0F9"/>
          </w:tcPr>
          <w:p w14:paraId="3B132795" w14:textId="77777777" w:rsidR="00BC7E9E" w:rsidRDefault="00000000">
            <w:pPr>
              <w:spacing w:after="0" w:line="240" w:lineRule="auto"/>
            </w:pPr>
            <w:r>
              <w:t>11</w:t>
            </w:r>
          </w:p>
        </w:tc>
      </w:tr>
    </w:tbl>
    <w:p w14:paraId="50535E8E" w14:textId="77777777" w:rsidR="00BC7E9E" w:rsidRDefault="00000000">
      <w:r>
        <w:br/>
      </w:r>
    </w:p>
    <w:p w14:paraId="295F55AA" w14:textId="77777777" w:rsidR="00BC7E9E" w:rsidRDefault="00000000">
      <w:pPr>
        <w:spacing w:line="240" w:lineRule="auto"/>
        <w:jc w:val="center"/>
      </w:pPr>
      <w:r>
        <w:rPr>
          <w:b/>
          <w:sz w:val="28"/>
        </w:rPr>
        <w:t>BILJEŠKE UZ FINANCIJSKE IZVJEŠTAJE</w:t>
      </w:r>
    </w:p>
    <w:p w14:paraId="496619B3" w14:textId="77777777" w:rsidR="00BC7E9E" w:rsidRDefault="00000000">
      <w:pPr>
        <w:spacing w:line="240" w:lineRule="auto"/>
        <w:jc w:val="center"/>
      </w:pPr>
      <w:r>
        <w:rPr>
          <w:b/>
          <w:sz w:val="28"/>
        </w:rPr>
        <w:t>ZA RAZDOBLJE</w:t>
      </w:r>
    </w:p>
    <w:p w14:paraId="6CF4B1AE" w14:textId="77777777" w:rsidR="00BC7E9E" w:rsidRDefault="00000000">
      <w:pPr>
        <w:spacing w:line="240" w:lineRule="auto"/>
        <w:jc w:val="center"/>
      </w:pPr>
      <w:r>
        <w:rPr>
          <w:b/>
          <w:sz w:val="28"/>
        </w:rPr>
        <w:t>I - III 2026.</w:t>
      </w:r>
    </w:p>
    <w:p w14:paraId="02514F42" w14:textId="77777777" w:rsidR="00BC7E9E" w:rsidRDefault="00BC7E9E"/>
    <w:p w14:paraId="045A51F3" w14:textId="77777777" w:rsidR="00BC7E9E" w:rsidRDefault="00000000">
      <w:pPr>
        <w:keepNext/>
        <w:spacing w:line="240" w:lineRule="auto"/>
        <w:jc w:val="center"/>
      </w:pPr>
      <w:r>
        <w:rPr>
          <w:b/>
          <w:sz w:val="28"/>
        </w:rPr>
        <w:t>Izvještaj o prihodima i rashodima, primicima i izdacima</w:t>
      </w:r>
    </w:p>
    <w:p w14:paraId="180688E3" w14:textId="77777777" w:rsidR="00BC7E9E"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C7E9E" w14:paraId="3C7F6F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BE1A03" w14:textId="77777777" w:rsidR="00BC7E9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F8C078" w14:textId="77777777" w:rsidR="00BC7E9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FC6F72" w14:textId="77777777" w:rsidR="00BC7E9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4C3691" w14:textId="77777777" w:rsidR="00BC7E9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D61D76" w14:textId="77777777" w:rsidR="00BC7E9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3507F6" w14:textId="77777777" w:rsidR="00BC7E9E" w:rsidRDefault="00000000">
            <w:pPr>
              <w:keepNext/>
              <w:keepLines/>
              <w:spacing w:after="0" w:line="240" w:lineRule="auto"/>
              <w:jc w:val="center"/>
            </w:pPr>
            <w:r>
              <w:rPr>
                <w:b/>
                <w:sz w:val="18"/>
              </w:rPr>
              <w:t>Indeks (%)</w:t>
            </w:r>
          </w:p>
        </w:tc>
      </w:tr>
      <w:tr w:rsidR="00BC7E9E" w14:paraId="725D9C46" w14:textId="77777777">
        <w:tblPrEx>
          <w:tblCellMar>
            <w:top w:w="0" w:type="dxa"/>
            <w:bottom w:w="0" w:type="dxa"/>
          </w:tblCellMar>
        </w:tblPrEx>
        <w:trPr>
          <w:cantSplit/>
          <w:trHeight w:val="560"/>
        </w:trPr>
        <w:tc>
          <w:tcPr>
            <w:tcW w:w="700" w:type="dxa"/>
            <w:tcMar>
              <w:top w:w="0" w:type="dxa"/>
              <w:bottom w:w="0" w:type="dxa"/>
            </w:tcMar>
            <w:vAlign w:val="center"/>
          </w:tcPr>
          <w:p w14:paraId="7FDB4F33" w14:textId="77777777" w:rsidR="00BC7E9E" w:rsidRDefault="00000000">
            <w:pPr>
              <w:keepNext/>
              <w:keepLines/>
              <w:spacing w:after="0" w:line="240" w:lineRule="auto"/>
            </w:pPr>
            <w:r>
              <w:rPr>
                <w:sz w:val="18"/>
              </w:rPr>
              <w:t>6</w:t>
            </w:r>
          </w:p>
        </w:tc>
        <w:tc>
          <w:tcPr>
            <w:tcW w:w="3180" w:type="dxa"/>
            <w:tcMar>
              <w:top w:w="0" w:type="dxa"/>
              <w:bottom w:w="0" w:type="dxa"/>
            </w:tcMar>
            <w:vAlign w:val="center"/>
          </w:tcPr>
          <w:p w14:paraId="1B7A41C7" w14:textId="77777777" w:rsidR="00BC7E9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C3A38A6" w14:textId="77777777" w:rsidR="00BC7E9E" w:rsidRDefault="00000000">
            <w:pPr>
              <w:keepNext/>
              <w:keepLines/>
              <w:spacing w:after="0" w:line="240" w:lineRule="auto"/>
            </w:pPr>
            <w:r>
              <w:rPr>
                <w:sz w:val="18"/>
              </w:rPr>
              <w:t>6</w:t>
            </w:r>
          </w:p>
        </w:tc>
        <w:tc>
          <w:tcPr>
            <w:tcW w:w="1860" w:type="dxa"/>
            <w:tcMar>
              <w:top w:w="0" w:type="dxa"/>
              <w:bottom w:w="0" w:type="dxa"/>
            </w:tcMar>
            <w:vAlign w:val="center"/>
          </w:tcPr>
          <w:p w14:paraId="209C0B7A" w14:textId="77777777" w:rsidR="00BC7E9E" w:rsidRDefault="00000000">
            <w:pPr>
              <w:keepNext/>
              <w:keepLines/>
              <w:spacing w:after="0" w:line="240" w:lineRule="auto"/>
              <w:jc w:val="right"/>
            </w:pPr>
            <w:r>
              <w:rPr>
                <w:sz w:val="18"/>
              </w:rPr>
              <w:t>887.178,01</w:t>
            </w:r>
          </w:p>
        </w:tc>
        <w:tc>
          <w:tcPr>
            <w:tcW w:w="1860" w:type="dxa"/>
            <w:tcMar>
              <w:top w:w="0" w:type="dxa"/>
              <w:bottom w:w="0" w:type="dxa"/>
            </w:tcMar>
            <w:vAlign w:val="center"/>
          </w:tcPr>
          <w:p w14:paraId="1D7112A0" w14:textId="77777777" w:rsidR="00BC7E9E" w:rsidRDefault="00000000">
            <w:pPr>
              <w:keepNext/>
              <w:keepLines/>
              <w:spacing w:after="0" w:line="240" w:lineRule="auto"/>
              <w:jc w:val="right"/>
            </w:pPr>
            <w:r>
              <w:rPr>
                <w:sz w:val="18"/>
              </w:rPr>
              <w:t>1.019.435,59</w:t>
            </w:r>
          </w:p>
        </w:tc>
        <w:tc>
          <w:tcPr>
            <w:tcW w:w="700" w:type="dxa"/>
            <w:tcMar>
              <w:top w:w="0" w:type="dxa"/>
              <w:bottom w:w="0" w:type="dxa"/>
            </w:tcMar>
            <w:vAlign w:val="center"/>
          </w:tcPr>
          <w:p w14:paraId="15E44CA9" w14:textId="77777777" w:rsidR="00BC7E9E" w:rsidRDefault="00000000">
            <w:pPr>
              <w:keepNext/>
              <w:keepLines/>
              <w:spacing w:after="0" w:line="240" w:lineRule="auto"/>
              <w:jc w:val="right"/>
            </w:pPr>
            <w:r>
              <w:rPr>
                <w:sz w:val="18"/>
              </w:rPr>
              <w:t>114,9</w:t>
            </w:r>
          </w:p>
        </w:tc>
      </w:tr>
      <w:tr w:rsidR="00BC7E9E" w14:paraId="0ACA6F5B" w14:textId="77777777">
        <w:tblPrEx>
          <w:tblCellMar>
            <w:top w:w="0" w:type="dxa"/>
            <w:bottom w:w="0" w:type="dxa"/>
          </w:tblCellMar>
        </w:tblPrEx>
        <w:trPr>
          <w:cantSplit/>
          <w:trHeight w:val="560"/>
        </w:trPr>
        <w:tc>
          <w:tcPr>
            <w:tcW w:w="700" w:type="dxa"/>
            <w:tcMar>
              <w:top w:w="0" w:type="dxa"/>
              <w:bottom w:w="0" w:type="dxa"/>
            </w:tcMar>
            <w:vAlign w:val="center"/>
          </w:tcPr>
          <w:p w14:paraId="0C412211" w14:textId="77777777" w:rsidR="00BC7E9E" w:rsidRDefault="00000000">
            <w:pPr>
              <w:keepNext/>
              <w:keepLines/>
              <w:spacing w:after="0" w:line="240" w:lineRule="auto"/>
            </w:pPr>
            <w:r>
              <w:rPr>
                <w:sz w:val="18"/>
              </w:rPr>
              <w:t>3</w:t>
            </w:r>
          </w:p>
        </w:tc>
        <w:tc>
          <w:tcPr>
            <w:tcW w:w="3180" w:type="dxa"/>
            <w:tcMar>
              <w:top w:w="0" w:type="dxa"/>
              <w:bottom w:w="0" w:type="dxa"/>
            </w:tcMar>
            <w:vAlign w:val="center"/>
          </w:tcPr>
          <w:p w14:paraId="39C4AABC" w14:textId="77777777" w:rsidR="00BC7E9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8D6CFDA" w14:textId="77777777" w:rsidR="00BC7E9E" w:rsidRDefault="00000000">
            <w:pPr>
              <w:keepNext/>
              <w:keepLines/>
              <w:spacing w:after="0" w:line="240" w:lineRule="auto"/>
            </w:pPr>
            <w:r>
              <w:rPr>
                <w:sz w:val="18"/>
              </w:rPr>
              <w:t>3</w:t>
            </w:r>
          </w:p>
        </w:tc>
        <w:tc>
          <w:tcPr>
            <w:tcW w:w="1860" w:type="dxa"/>
            <w:tcMar>
              <w:top w:w="0" w:type="dxa"/>
              <w:bottom w:w="0" w:type="dxa"/>
            </w:tcMar>
            <w:vAlign w:val="center"/>
          </w:tcPr>
          <w:p w14:paraId="73F0CB10" w14:textId="77777777" w:rsidR="00BC7E9E" w:rsidRDefault="00000000">
            <w:pPr>
              <w:keepNext/>
              <w:keepLines/>
              <w:spacing w:after="0" w:line="240" w:lineRule="auto"/>
              <w:jc w:val="right"/>
            </w:pPr>
            <w:r>
              <w:rPr>
                <w:sz w:val="18"/>
              </w:rPr>
              <w:t>878.948,81</w:t>
            </w:r>
          </w:p>
        </w:tc>
        <w:tc>
          <w:tcPr>
            <w:tcW w:w="1860" w:type="dxa"/>
            <w:tcMar>
              <w:top w:w="0" w:type="dxa"/>
              <w:bottom w:w="0" w:type="dxa"/>
            </w:tcMar>
            <w:vAlign w:val="center"/>
          </w:tcPr>
          <w:p w14:paraId="77AB2217" w14:textId="77777777" w:rsidR="00BC7E9E" w:rsidRDefault="00000000">
            <w:pPr>
              <w:keepNext/>
              <w:keepLines/>
              <w:spacing w:after="0" w:line="240" w:lineRule="auto"/>
              <w:jc w:val="right"/>
            </w:pPr>
            <w:r>
              <w:rPr>
                <w:sz w:val="18"/>
              </w:rPr>
              <w:t>1.183.493,64</w:t>
            </w:r>
          </w:p>
        </w:tc>
        <w:tc>
          <w:tcPr>
            <w:tcW w:w="700" w:type="dxa"/>
            <w:tcMar>
              <w:top w:w="0" w:type="dxa"/>
              <w:bottom w:w="0" w:type="dxa"/>
            </w:tcMar>
            <w:vAlign w:val="center"/>
          </w:tcPr>
          <w:p w14:paraId="7B47C12A" w14:textId="77777777" w:rsidR="00BC7E9E" w:rsidRDefault="00000000">
            <w:pPr>
              <w:keepNext/>
              <w:keepLines/>
              <w:spacing w:after="0" w:line="240" w:lineRule="auto"/>
              <w:jc w:val="right"/>
            </w:pPr>
            <w:r>
              <w:rPr>
                <w:sz w:val="18"/>
              </w:rPr>
              <w:t>134,6</w:t>
            </w:r>
          </w:p>
        </w:tc>
      </w:tr>
      <w:tr w:rsidR="00BC7E9E" w14:paraId="487E0E2B" w14:textId="77777777">
        <w:tblPrEx>
          <w:tblCellMar>
            <w:top w:w="0" w:type="dxa"/>
            <w:bottom w:w="0" w:type="dxa"/>
          </w:tblCellMar>
        </w:tblPrEx>
        <w:trPr>
          <w:cantSplit/>
          <w:trHeight w:val="560"/>
        </w:trPr>
        <w:tc>
          <w:tcPr>
            <w:tcW w:w="700" w:type="dxa"/>
            <w:tcMar>
              <w:top w:w="0" w:type="dxa"/>
              <w:bottom w:w="0" w:type="dxa"/>
            </w:tcMar>
            <w:vAlign w:val="center"/>
          </w:tcPr>
          <w:p w14:paraId="131EBCB8" w14:textId="77777777" w:rsidR="00BC7E9E" w:rsidRDefault="00BC7E9E">
            <w:pPr>
              <w:keepNext/>
              <w:keepLines/>
              <w:spacing w:after="0" w:line="240" w:lineRule="auto"/>
            </w:pPr>
          </w:p>
        </w:tc>
        <w:tc>
          <w:tcPr>
            <w:tcW w:w="3180" w:type="dxa"/>
            <w:tcMar>
              <w:top w:w="0" w:type="dxa"/>
              <w:bottom w:w="0" w:type="dxa"/>
            </w:tcMar>
            <w:vAlign w:val="center"/>
          </w:tcPr>
          <w:p w14:paraId="1D3A9D56" w14:textId="77777777" w:rsidR="00BC7E9E"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6CB2B273" w14:textId="77777777" w:rsidR="00BC7E9E" w:rsidRDefault="00000000">
            <w:pPr>
              <w:keepNext/>
              <w:keepLines/>
              <w:spacing w:after="0" w:line="240" w:lineRule="auto"/>
            </w:pPr>
            <w:r>
              <w:rPr>
                <w:b/>
                <w:sz w:val="18"/>
              </w:rPr>
              <w:t>Y001</w:t>
            </w:r>
          </w:p>
        </w:tc>
        <w:tc>
          <w:tcPr>
            <w:tcW w:w="1860" w:type="dxa"/>
            <w:tcMar>
              <w:top w:w="0" w:type="dxa"/>
              <w:bottom w:w="0" w:type="dxa"/>
            </w:tcMar>
            <w:vAlign w:val="center"/>
          </w:tcPr>
          <w:p w14:paraId="1E74C730" w14:textId="77777777" w:rsidR="00BC7E9E" w:rsidRDefault="00000000">
            <w:pPr>
              <w:keepNext/>
              <w:keepLines/>
              <w:spacing w:after="0" w:line="240" w:lineRule="auto"/>
              <w:jc w:val="right"/>
            </w:pPr>
            <w:r>
              <w:rPr>
                <w:b/>
                <w:sz w:val="18"/>
              </w:rPr>
              <w:t>0,00</w:t>
            </w:r>
          </w:p>
        </w:tc>
        <w:tc>
          <w:tcPr>
            <w:tcW w:w="1860" w:type="dxa"/>
            <w:tcMar>
              <w:top w:w="0" w:type="dxa"/>
              <w:bottom w:w="0" w:type="dxa"/>
            </w:tcMar>
            <w:vAlign w:val="center"/>
          </w:tcPr>
          <w:p w14:paraId="010A3503" w14:textId="77777777" w:rsidR="00BC7E9E" w:rsidRDefault="00000000">
            <w:pPr>
              <w:keepNext/>
              <w:keepLines/>
              <w:spacing w:after="0" w:line="240" w:lineRule="auto"/>
              <w:jc w:val="right"/>
            </w:pPr>
            <w:r>
              <w:rPr>
                <w:b/>
                <w:sz w:val="18"/>
              </w:rPr>
              <w:t>164.058,05</w:t>
            </w:r>
          </w:p>
        </w:tc>
        <w:tc>
          <w:tcPr>
            <w:tcW w:w="700" w:type="dxa"/>
            <w:tcMar>
              <w:top w:w="0" w:type="dxa"/>
              <w:bottom w:w="0" w:type="dxa"/>
            </w:tcMar>
            <w:vAlign w:val="center"/>
          </w:tcPr>
          <w:p w14:paraId="7FA06CE2" w14:textId="77777777" w:rsidR="00BC7E9E" w:rsidRDefault="00000000">
            <w:pPr>
              <w:keepNext/>
              <w:keepLines/>
              <w:spacing w:after="0" w:line="240" w:lineRule="auto"/>
              <w:jc w:val="right"/>
            </w:pPr>
            <w:r>
              <w:rPr>
                <w:b/>
                <w:sz w:val="18"/>
              </w:rPr>
              <w:t>-</w:t>
            </w:r>
          </w:p>
        </w:tc>
      </w:tr>
      <w:tr w:rsidR="00BC7E9E" w14:paraId="610B525A" w14:textId="77777777">
        <w:tblPrEx>
          <w:tblCellMar>
            <w:top w:w="0" w:type="dxa"/>
            <w:bottom w:w="0" w:type="dxa"/>
          </w:tblCellMar>
        </w:tblPrEx>
        <w:trPr>
          <w:cantSplit/>
          <w:trHeight w:val="560"/>
        </w:trPr>
        <w:tc>
          <w:tcPr>
            <w:tcW w:w="700" w:type="dxa"/>
            <w:tcMar>
              <w:top w:w="0" w:type="dxa"/>
              <w:bottom w:w="0" w:type="dxa"/>
            </w:tcMar>
            <w:vAlign w:val="center"/>
          </w:tcPr>
          <w:p w14:paraId="26F25493" w14:textId="77777777" w:rsidR="00BC7E9E" w:rsidRDefault="00000000">
            <w:pPr>
              <w:keepNext/>
              <w:keepLines/>
              <w:spacing w:after="0" w:line="240" w:lineRule="auto"/>
            </w:pPr>
            <w:r>
              <w:rPr>
                <w:sz w:val="18"/>
              </w:rPr>
              <w:t>7</w:t>
            </w:r>
          </w:p>
        </w:tc>
        <w:tc>
          <w:tcPr>
            <w:tcW w:w="3180" w:type="dxa"/>
            <w:tcMar>
              <w:top w:w="0" w:type="dxa"/>
              <w:bottom w:w="0" w:type="dxa"/>
            </w:tcMar>
            <w:vAlign w:val="center"/>
          </w:tcPr>
          <w:p w14:paraId="39A353C9" w14:textId="77777777" w:rsidR="00BC7E9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9D20B54" w14:textId="77777777" w:rsidR="00BC7E9E" w:rsidRDefault="00000000">
            <w:pPr>
              <w:keepNext/>
              <w:keepLines/>
              <w:spacing w:after="0" w:line="240" w:lineRule="auto"/>
            </w:pPr>
            <w:r>
              <w:rPr>
                <w:sz w:val="18"/>
              </w:rPr>
              <w:t>7</w:t>
            </w:r>
          </w:p>
        </w:tc>
        <w:tc>
          <w:tcPr>
            <w:tcW w:w="1860" w:type="dxa"/>
            <w:tcMar>
              <w:top w:w="0" w:type="dxa"/>
              <w:bottom w:w="0" w:type="dxa"/>
            </w:tcMar>
            <w:vAlign w:val="center"/>
          </w:tcPr>
          <w:p w14:paraId="1A097008" w14:textId="77777777" w:rsidR="00BC7E9E" w:rsidRDefault="00000000">
            <w:pPr>
              <w:keepNext/>
              <w:keepLines/>
              <w:spacing w:after="0" w:line="240" w:lineRule="auto"/>
              <w:jc w:val="right"/>
            </w:pPr>
            <w:r>
              <w:rPr>
                <w:sz w:val="18"/>
              </w:rPr>
              <w:t>0,00</w:t>
            </w:r>
          </w:p>
        </w:tc>
        <w:tc>
          <w:tcPr>
            <w:tcW w:w="1860" w:type="dxa"/>
            <w:tcMar>
              <w:top w:w="0" w:type="dxa"/>
              <w:bottom w:w="0" w:type="dxa"/>
            </w:tcMar>
            <w:vAlign w:val="center"/>
          </w:tcPr>
          <w:p w14:paraId="771BA690" w14:textId="77777777" w:rsidR="00BC7E9E" w:rsidRDefault="00000000">
            <w:pPr>
              <w:keepNext/>
              <w:keepLines/>
              <w:spacing w:after="0" w:line="240" w:lineRule="auto"/>
              <w:jc w:val="right"/>
            </w:pPr>
            <w:r>
              <w:rPr>
                <w:sz w:val="18"/>
              </w:rPr>
              <w:t>0,00</w:t>
            </w:r>
          </w:p>
        </w:tc>
        <w:tc>
          <w:tcPr>
            <w:tcW w:w="700" w:type="dxa"/>
            <w:tcMar>
              <w:top w:w="0" w:type="dxa"/>
              <w:bottom w:w="0" w:type="dxa"/>
            </w:tcMar>
            <w:vAlign w:val="center"/>
          </w:tcPr>
          <w:p w14:paraId="7AD1E356" w14:textId="77777777" w:rsidR="00BC7E9E" w:rsidRDefault="00000000">
            <w:pPr>
              <w:keepNext/>
              <w:keepLines/>
              <w:spacing w:after="0" w:line="240" w:lineRule="auto"/>
              <w:jc w:val="right"/>
            </w:pPr>
            <w:r>
              <w:rPr>
                <w:sz w:val="18"/>
              </w:rPr>
              <w:t>-</w:t>
            </w:r>
          </w:p>
        </w:tc>
      </w:tr>
      <w:tr w:rsidR="00BC7E9E" w14:paraId="1C3F935E" w14:textId="77777777">
        <w:tblPrEx>
          <w:tblCellMar>
            <w:top w:w="0" w:type="dxa"/>
            <w:bottom w:w="0" w:type="dxa"/>
          </w:tblCellMar>
        </w:tblPrEx>
        <w:trPr>
          <w:cantSplit/>
          <w:trHeight w:val="560"/>
        </w:trPr>
        <w:tc>
          <w:tcPr>
            <w:tcW w:w="700" w:type="dxa"/>
            <w:tcMar>
              <w:top w:w="0" w:type="dxa"/>
              <w:bottom w:w="0" w:type="dxa"/>
            </w:tcMar>
            <w:vAlign w:val="center"/>
          </w:tcPr>
          <w:p w14:paraId="0A632722" w14:textId="77777777" w:rsidR="00BC7E9E" w:rsidRDefault="00000000">
            <w:pPr>
              <w:keepNext/>
              <w:keepLines/>
              <w:spacing w:after="0" w:line="240" w:lineRule="auto"/>
            </w:pPr>
            <w:r>
              <w:rPr>
                <w:sz w:val="18"/>
              </w:rPr>
              <w:t>4</w:t>
            </w:r>
          </w:p>
        </w:tc>
        <w:tc>
          <w:tcPr>
            <w:tcW w:w="3180" w:type="dxa"/>
            <w:tcMar>
              <w:top w:w="0" w:type="dxa"/>
              <w:bottom w:w="0" w:type="dxa"/>
            </w:tcMar>
            <w:vAlign w:val="center"/>
          </w:tcPr>
          <w:p w14:paraId="18E0EE10" w14:textId="77777777" w:rsidR="00BC7E9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819A3D3" w14:textId="77777777" w:rsidR="00BC7E9E" w:rsidRDefault="00000000">
            <w:pPr>
              <w:keepNext/>
              <w:keepLines/>
              <w:spacing w:after="0" w:line="240" w:lineRule="auto"/>
            </w:pPr>
            <w:r>
              <w:rPr>
                <w:sz w:val="18"/>
              </w:rPr>
              <w:t>4</w:t>
            </w:r>
          </w:p>
        </w:tc>
        <w:tc>
          <w:tcPr>
            <w:tcW w:w="1860" w:type="dxa"/>
            <w:tcMar>
              <w:top w:w="0" w:type="dxa"/>
              <w:bottom w:w="0" w:type="dxa"/>
            </w:tcMar>
            <w:vAlign w:val="center"/>
          </w:tcPr>
          <w:p w14:paraId="5AAE781E" w14:textId="77777777" w:rsidR="00BC7E9E" w:rsidRDefault="00000000">
            <w:pPr>
              <w:keepNext/>
              <w:keepLines/>
              <w:spacing w:after="0" w:line="240" w:lineRule="auto"/>
              <w:jc w:val="right"/>
            </w:pPr>
            <w:r>
              <w:rPr>
                <w:sz w:val="18"/>
              </w:rPr>
              <w:t>13.624,17</w:t>
            </w:r>
          </w:p>
        </w:tc>
        <w:tc>
          <w:tcPr>
            <w:tcW w:w="1860" w:type="dxa"/>
            <w:tcMar>
              <w:top w:w="0" w:type="dxa"/>
              <w:bottom w:w="0" w:type="dxa"/>
            </w:tcMar>
            <w:vAlign w:val="center"/>
          </w:tcPr>
          <w:p w14:paraId="72430604" w14:textId="77777777" w:rsidR="00BC7E9E" w:rsidRDefault="00000000">
            <w:pPr>
              <w:keepNext/>
              <w:keepLines/>
              <w:spacing w:after="0" w:line="240" w:lineRule="auto"/>
              <w:jc w:val="right"/>
            </w:pPr>
            <w:r>
              <w:rPr>
                <w:sz w:val="18"/>
              </w:rPr>
              <w:t>27.174,57</w:t>
            </w:r>
          </w:p>
        </w:tc>
        <w:tc>
          <w:tcPr>
            <w:tcW w:w="700" w:type="dxa"/>
            <w:tcMar>
              <w:top w:w="0" w:type="dxa"/>
              <w:bottom w:w="0" w:type="dxa"/>
            </w:tcMar>
            <w:vAlign w:val="center"/>
          </w:tcPr>
          <w:p w14:paraId="104AAF9B" w14:textId="77777777" w:rsidR="00BC7E9E" w:rsidRDefault="00000000">
            <w:pPr>
              <w:keepNext/>
              <w:keepLines/>
              <w:spacing w:after="0" w:line="240" w:lineRule="auto"/>
              <w:jc w:val="right"/>
            </w:pPr>
            <w:r>
              <w:rPr>
                <w:sz w:val="18"/>
              </w:rPr>
              <w:t>199,5</w:t>
            </w:r>
          </w:p>
        </w:tc>
      </w:tr>
      <w:tr w:rsidR="00BC7E9E" w14:paraId="10990991" w14:textId="77777777">
        <w:tblPrEx>
          <w:tblCellMar>
            <w:top w:w="0" w:type="dxa"/>
            <w:bottom w:w="0" w:type="dxa"/>
          </w:tblCellMar>
        </w:tblPrEx>
        <w:trPr>
          <w:cantSplit/>
          <w:trHeight w:val="560"/>
        </w:trPr>
        <w:tc>
          <w:tcPr>
            <w:tcW w:w="700" w:type="dxa"/>
            <w:tcMar>
              <w:top w:w="0" w:type="dxa"/>
              <w:bottom w:w="0" w:type="dxa"/>
            </w:tcMar>
            <w:vAlign w:val="center"/>
          </w:tcPr>
          <w:p w14:paraId="4E05509E" w14:textId="77777777" w:rsidR="00BC7E9E" w:rsidRDefault="00BC7E9E">
            <w:pPr>
              <w:keepNext/>
              <w:keepLines/>
              <w:spacing w:after="0" w:line="240" w:lineRule="auto"/>
            </w:pPr>
          </w:p>
        </w:tc>
        <w:tc>
          <w:tcPr>
            <w:tcW w:w="3180" w:type="dxa"/>
            <w:tcMar>
              <w:top w:w="0" w:type="dxa"/>
              <w:bottom w:w="0" w:type="dxa"/>
            </w:tcMar>
            <w:vAlign w:val="center"/>
          </w:tcPr>
          <w:p w14:paraId="3CF2A493" w14:textId="77777777" w:rsidR="00BC7E9E"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3A079D0" w14:textId="77777777" w:rsidR="00BC7E9E" w:rsidRDefault="00000000">
            <w:pPr>
              <w:keepNext/>
              <w:keepLines/>
              <w:spacing w:after="0" w:line="240" w:lineRule="auto"/>
            </w:pPr>
            <w:r>
              <w:rPr>
                <w:b/>
                <w:sz w:val="18"/>
              </w:rPr>
              <w:t>Y002</w:t>
            </w:r>
          </w:p>
        </w:tc>
        <w:tc>
          <w:tcPr>
            <w:tcW w:w="1860" w:type="dxa"/>
            <w:tcMar>
              <w:top w:w="0" w:type="dxa"/>
              <w:bottom w:w="0" w:type="dxa"/>
            </w:tcMar>
            <w:vAlign w:val="center"/>
          </w:tcPr>
          <w:p w14:paraId="7E6DF54E" w14:textId="77777777" w:rsidR="00BC7E9E" w:rsidRDefault="00000000">
            <w:pPr>
              <w:keepNext/>
              <w:keepLines/>
              <w:spacing w:after="0" w:line="240" w:lineRule="auto"/>
              <w:jc w:val="right"/>
            </w:pPr>
            <w:r>
              <w:rPr>
                <w:b/>
                <w:sz w:val="18"/>
              </w:rPr>
              <w:t>13.624,17</w:t>
            </w:r>
          </w:p>
        </w:tc>
        <w:tc>
          <w:tcPr>
            <w:tcW w:w="1860" w:type="dxa"/>
            <w:tcMar>
              <w:top w:w="0" w:type="dxa"/>
              <w:bottom w:w="0" w:type="dxa"/>
            </w:tcMar>
            <w:vAlign w:val="center"/>
          </w:tcPr>
          <w:p w14:paraId="5B689BE2" w14:textId="77777777" w:rsidR="00BC7E9E" w:rsidRDefault="00000000">
            <w:pPr>
              <w:keepNext/>
              <w:keepLines/>
              <w:spacing w:after="0" w:line="240" w:lineRule="auto"/>
              <w:jc w:val="right"/>
            </w:pPr>
            <w:r>
              <w:rPr>
                <w:b/>
                <w:sz w:val="18"/>
              </w:rPr>
              <w:t>27.174,57</w:t>
            </w:r>
          </w:p>
        </w:tc>
        <w:tc>
          <w:tcPr>
            <w:tcW w:w="700" w:type="dxa"/>
            <w:tcMar>
              <w:top w:w="0" w:type="dxa"/>
              <w:bottom w:w="0" w:type="dxa"/>
            </w:tcMar>
            <w:vAlign w:val="center"/>
          </w:tcPr>
          <w:p w14:paraId="57311254" w14:textId="77777777" w:rsidR="00BC7E9E" w:rsidRDefault="00000000">
            <w:pPr>
              <w:keepNext/>
              <w:keepLines/>
              <w:spacing w:after="0" w:line="240" w:lineRule="auto"/>
              <w:jc w:val="right"/>
            </w:pPr>
            <w:r>
              <w:rPr>
                <w:b/>
                <w:sz w:val="18"/>
              </w:rPr>
              <w:t>199,5</w:t>
            </w:r>
          </w:p>
        </w:tc>
      </w:tr>
      <w:tr w:rsidR="00BC7E9E" w14:paraId="31AFCB22" w14:textId="77777777">
        <w:tblPrEx>
          <w:tblCellMar>
            <w:top w:w="0" w:type="dxa"/>
            <w:bottom w:w="0" w:type="dxa"/>
          </w:tblCellMar>
        </w:tblPrEx>
        <w:trPr>
          <w:cantSplit/>
          <w:trHeight w:val="560"/>
        </w:trPr>
        <w:tc>
          <w:tcPr>
            <w:tcW w:w="700" w:type="dxa"/>
            <w:tcMar>
              <w:top w:w="0" w:type="dxa"/>
              <w:bottom w:w="0" w:type="dxa"/>
            </w:tcMar>
            <w:vAlign w:val="center"/>
          </w:tcPr>
          <w:p w14:paraId="5A10CC7A" w14:textId="77777777" w:rsidR="00BC7E9E" w:rsidRDefault="00000000">
            <w:pPr>
              <w:keepNext/>
              <w:keepLines/>
              <w:spacing w:after="0" w:line="240" w:lineRule="auto"/>
            </w:pPr>
            <w:r>
              <w:rPr>
                <w:sz w:val="18"/>
              </w:rPr>
              <w:t>8</w:t>
            </w:r>
          </w:p>
        </w:tc>
        <w:tc>
          <w:tcPr>
            <w:tcW w:w="3180" w:type="dxa"/>
            <w:tcMar>
              <w:top w:w="0" w:type="dxa"/>
              <w:bottom w:w="0" w:type="dxa"/>
            </w:tcMar>
            <w:vAlign w:val="center"/>
          </w:tcPr>
          <w:p w14:paraId="51814520" w14:textId="77777777" w:rsidR="00BC7E9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745D089" w14:textId="77777777" w:rsidR="00BC7E9E" w:rsidRDefault="00000000">
            <w:pPr>
              <w:keepNext/>
              <w:keepLines/>
              <w:spacing w:after="0" w:line="240" w:lineRule="auto"/>
            </w:pPr>
            <w:r>
              <w:rPr>
                <w:sz w:val="18"/>
              </w:rPr>
              <w:t>8</w:t>
            </w:r>
          </w:p>
        </w:tc>
        <w:tc>
          <w:tcPr>
            <w:tcW w:w="1860" w:type="dxa"/>
            <w:tcMar>
              <w:top w:w="0" w:type="dxa"/>
              <w:bottom w:w="0" w:type="dxa"/>
            </w:tcMar>
            <w:vAlign w:val="center"/>
          </w:tcPr>
          <w:p w14:paraId="7C5E17E5" w14:textId="77777777" w:rsidR="00BC7E9E" w:rsidRDefault="00000000">
            <w:pPr>
              <w:keepNext/>
              <w:keepLines/>
              <w:spacing w:after="0" w:line="240" w:lineRule="auto"/>
              <w:jc w:val="right"/>
            </w:pPr>
            <w:r>
              <w:rPr>
                <w:sz w:val="18"/>
              </w:rPr>
              <w:t>0,00</w:t>
            </w:r>
          </w:p>
        </w:tc>
        <w:tc>
          <w:tcPr>
            <w:tcW w:w="1860" w:type="dxa"/>
            <w:tcMar>
              <w:top w:w="0" w:type="dxa"/>
              <w:bottom w:w="0" w:type="dxa"/>
            </w:tcMar>
            <w:vAlign w:val="center"/>
          </w:tcPr>
          <w:p w14:paraId="40C79D42" w14:textId="77777777" w:rsidR="00BC7E9E" w:rsidRDefault="00000000">
            <w:pPr>
              <w:keepNext/>
              <w:keepLines/>
              <w:spacing w:after="0" w:line="240" w:lineRule="auto"/>
              <w:jc w:val="right"/>
            </w:pPr>
            <w:r>
              <w:rPr>
                <w:sz w:val="18"/>
              </w:rPr>
              <w:t>0,00</w:t>
            </w:r>
          </w:p>
        </w:tc>
        <w:tc>
          <w:tcPr>
            <w:tcW w:w="700" w:type="dxa"/>
            <w:tcMar>
              <w:top w:w="0" w:type="dxa"/>
              <w:bottom w:w="0" w:type="dxa"/>
            </w:tcMar>
            <w:vAlign w:val="center"/>
          </w:tcPr>
          <w:p w14:paraId="44E8CA90" w14:textId="77777777" w:rsidR="00BC7E9E" w:rsidRDefault="00000000">
            <w:pPr>
              <w:keepNext/>
              <w:keepLines/>
              <w:spacing w:after="0" w:line="240" w:lineRule="auto"/>
              <w:jc w:val="right"/>
            </w:pPr>
            <w:r>
              <w:rPr>
                <w:sz w:val="18"/>
              </w:rPr>
              <w:t>-</w:t>
            </w:r>
          </w:p>
        </w:tc>
      </w:tr>
      <w:tr w:rsidR="00BC7E9E" w14:paraId="5C00E7A0" w14:textId="77777777">
        <w:tblPrEx>
          <w:tblCellMar>
            <w:top w:w="0" w:type="dxa"/>
            <w:bottom w:w="0" w:type="dxa"/>
          </w:tblCellMar>
        </w:tblPrEx>
        <w:trPr>
          <w:cantSplit/>
          <w:trHeight w:val="560"/>
        </w:trPr>
        <w:tc>
          <w:tcPr>
            <w:tcW w:w="700" w:type="dxa"/>
            <w:tcMar>
              <w:top w:w="0" w:type="dxa"/>
              <w:bottom w:w="0" w:type="dxa"/>
            </w:tcMar>
            <w:vAlign w:val="center"/>
          </w:tcPr>
          <w:p w14:paraId="4010A281" w14:textId="77777777" w:rsidR="00BC7E9E" w:rsidRDefault="00000000">
            <w:pPr>
              <w:keepNext/>
              <w:keepLines/>
              <w:spacing w:after="0" w:line="240" w:lineRule="auto"/>
            </w:pPr>
            <w:r>
              <w:rPr>
                <w:sz w:val="18"/>
              </w:rPr>
              <w:t>5</w:t>
            </w:r>
          </w:p>
        </w:tc>
        <w:tc>
          <w:tcPr>
            <w:tcW w:w="3180" w:type="dxa"/>
            <w:tcMar>
              <w:top w:w="0" w:type="dxa"/>
              <w:bottom w:w="0" w:type="dxa"/>
            </w:tcMar>
            <w:vAlign w:val="center"/>
          </w:tcPr>
          <w:p w14:paraId="59370FD2" w14:textId="77777777" w:rsidR="00BC7E9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066C6C7" w14:textId="77777777" w:rsidR="00BC7E9E" w:rsidRDefault="00000000">
            <w:pPr>
              <w:keepNext/>
              <w:keepLines/>
              <w:spacing w:after="0" w:line="240" w:lineRule="auto"/>
            </w:pPr>
            <w:r>
              <w:rPr>
                <w:sz w:val="18"/>
              </w:rPr>
              <w:t>5</w:t>
            </w:r>
          </w:p>
        </w:tc>
        <w:tc>
          <w:tcPr>
            <w:tcW w:w="1860" w:type="dxa"/>
            <w:tcMar>
              <w:top w:w="0" w:type="dxa"/>
              <w:bottom w:w="0" w:type="dxa"/>
            </w:tcMar>
            <w:vAlign w:val="center"/>
          </w:tcPr>
          <w:p w14:paraId="71E491D0" w14:textId="77777777" w:rsidR="00BC7E9E" w:rsidRDefault="00000000">
            <w:pPr>
              <w:keepNext/>
              <w:keepLines/>
              <w:spacing w:after="0" w:line="240" w:lineRule="auto"/>
              <w:jc w:val="right"/>
            </w:pPr>
            <w:r>
              <w:rPr>
                <w:sz w:val="18"/>
              </w:rPr>
              <w:t>2.135,11</w:t>
            </w:r>
          </w:p>
        </w:tc>
        <w:tc>
          <w:tcPr>
            <w:tcW w:w="1860" w:type="dxa"/>
            <w:tcMar>
              <w:top w:w="0" w:type="dxa"/>
              <w:bottom w:w="0" w:type="dxa"/>
            </w:tcMar>
            <w:vAlign w:val="center"/>
          </w:tcPr>
          <w:p w14:paraId="68BACA60" w14:textId="77777777" w:rsidR="00BC7E9E" w:rsidRDefault="00000000">
            <w:pPr>
              <w:keepNext/>
              <w:keepLines/>
              <w:spacing w:after="0" w:line="240" w:lineRule="auto"/>
              <w:jc w:val="right"/>
            </w:pPr>
            <w:r>
              <w:rPr>
                <w:sz w:val="18"/>
              </w:rPr>
              <w:t>2.273,66</w:t>
            </w:r>
          </w:p>
        </w:tc>
        <w:tc>
          <w:tcPr>
            <w:tcW w:w="700" w:type="dxa"/>
            <w:tcMar>
              <w:top w:w="0" w:type="dxa"/>
              <w:bottom w:w="0" w:type="dxa"/>
            </w:tcMar>
            <w:vAlign w:val="center"/>
          </w:tcPr>
          <w:p w14:paraId="60F2C1C7" w14:textId="77777777" w:rsidR="00BC7E9E" w:rsidRDefault="00000000">
            <w:pPr>
              <w:keepNext/>
              <w:keepLines/>
              <w:spacing w:after="0" w:line="240" w:lineRule="auto"/>
              <w:jc w:val="right"/>
            </w:pPr>
            <w:r>
              <w:rPr>
                <w:sz w:val="18"/>
              </w:rPr>
              <w:t>106,5</w:t>
            </w:r>
          </w:p>
        </w:tc>
      </w:tr>
      <w:tr w:rsidR="00BC7E9E" w14:paraId="7D00F6C4" w14:textId="77777777">
        <w:tblPrEx>
          <w:tblCellMar>
            <w:top w:w="0" w:type="dxa"/>
            <w:bottom w:w="0" w:type="dxa"/>
          </w:tblCellMar>
        </w:tblPrEx>
        <w:trPr>
          <w:cantSplit/>
          <w:trHeight w:val="560"/>
        </w:trPr>
        <w:tc>
          <w:tcPr>
            <w:tcW w:w="700" w:type="dxa"/>
            <w:tcMar>
              <w:top w:w="0" w:type="dxa"/>
              <w:bottom w:w="0" w:type="dxa"/>
            </w:tcMar>
            <w:vAlign w:val="center"/>
          </w:tcPr>
          <w:p w14:paraId="29C2DA64" w14:textId="77777777" w:rsidR="00BC7E9E" w:rsidRDefault="00BC7E9E">
            <w:pPr>
              <w:keepNext/>
              <w:keepLines/>
              <w:spacing w:after="0" w:line="240" w:lineRule="auto"/>
            </w:pPr>
          </w:p>
        </w:tc>
        <w:tc>
          <w:tcPr>
            <w:tcW w:w="3180" w:type="dxa"/>
            <w:tcMar>
              <w:top w:w="0" w:type="dxa"/>
              <w:bottom w:w="0" w:type="dxa"/>
            </w:tcMar>
            <w:vAlign w:val="center"/>
          </w:tcPr>
          <w:p w14:paraId="3340EC12" w14:textId="77777777" w:rsidR="00BC7E9E"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5CAD3BCA" w14:textId="77777777" w:rsidR="00BC7E9E" w:rsidRDefault="00000000">
            <w:pPr>
              <w:keepNext/>
              <w:keepLines/>
              <w:spacing w:after="0" w:line="240" w:lineRule="auto"/>
            </w:pPr>
            <w:r>
              <w:rPr>
                <w:b/>
                <w:sz w:val="18"/>
              </w:rPr>
              <w:t>Y003</w:t>
            </w:r>
          </w:p>
        </w:tc>
        <w:tc>
          <w:tcPr>
            <w:tcW w:w="1860" w:type="dxa"/>
            <w:tcMar>
              <w:top w:w="0" w:type="dxa"/>
              <w:bottom w:w="0" w:type="dxa"/>
            </w:tcMar>
            <w:vAlign w:val="center"/>
          </w:tcPr>
          <w:p w14:paraId="7CDB98A2" w14:textId="77777777" w:rsidR="00BC7E9E" w:rsidRDefault="00000000">
            <w:pPr>
              <w:keepNext/>
              <w:keepLines/>
              <w:spacing w:after="0" w:line="240" w:lineRule="auto"/>
              <w:jc w:val="right"/>
            </w:pPr>
            <w:r>
              <w:rPr>
                <w:b/>
                <w:sz w:val="18"/>
              </w:rPr>
              <w:t>2.135,11</w:t>
            </w:r>
          </w:p>
        </w:tc>
        <w:tc>
          <w:tcPr>
            <w:tcW w:w="1860" w:type="dxa"/>
            <w:tcMar>
              <w:top w:w="0" w:type="dxa"/>
              <w:bottom w:w="0" w:type="dxa"/>
            </w:tcMar>
            <w:vAlign w:val="center"/>
          </w:tcPr>
          <w:p w14:paraId="0F7B8068" w14:textId="77777777" w:rsidR="00BC7E9E" w:rsidRDefault="00000000">
            <w:pPr>
              <w:keepNext/>
              <w:keepLines/>
              <w:spacing w:after="0" w:line="240" w:lineRule="auto"/>
              <w:jc w:val="right"/>
            </w:pPr>
            <w:r>
              <w:rPr>
                <w:b/>
                <w:sz w:val="18"/>
              </w:rPr>
              <w:t>2.273,66</w:t>
            </w:r>
          </w:p>
        </w:tc>
        <w:tc>
          <w:tcPr>
            <w:tcW w:w="700" w:type="dxa"/>
            <w:tcMar>
              <w:top w:w="0" w:type="dxa"/>
              <w:bottom w:w="0" w:type="dxa"/>
            </w:tcMar>
            <w:vAlign w:val="center"/>
          </w:tcPr>
          <w:p w14:paraId="0FF9CB82" w14:textId="77777777" w:rsidR="00BC7E9E" w:rsidRDefault="00000000">
            <w:pPr>
              <w:keepNext/>
              <w:keepLines/>
              <w:spacing w:after="0" w:line="240" w:lineRule="auto"/>
              <w:jc w:val="right"/>
            </w:pPr>
            <w:r>
              <w:rPr>
                <w:b/>
                <w:sz w:val="18"/>
              </w:rPr>
              <w:t>106,5</w:t>
            </w:r>
          </w:p>
        </w:tc>
      </w:tr>
      <w:tr w:rsidR="00BC7E9E" w14:paraId="4373A1AA" w14:textId="77777777">
        <w:tblPrEx>
          <w:tblCellMar>
            <w:top w:w="0" w:type="dxa"/>
            <w:bottom w:w="0" w:type="dxa"/>
          </w:tblCellMar>
        </w:tblPrEx>
        <w:trPr>
          <w:cantSplit/>
          <w:trHeight w:val="560"/>
        </w:trPr>
        <w:tc>
          <w:tcPr>
            <w:tcW w:w="700" w:type="dxa"/>
            <w:tcMar>
              <w:top w:w="0" w:type="dxa"/>
              <w:bottom w:w="0" w:type="dxa"/>
            </w:tcMar>
            <w:vAlign w:val="center"/>
          </w:tcPr>
          <w:p w14:paraId="2907B46A" w14:textId="77777777" w:rsidR="00BC7E9E" w:rsidRDefault="00BC7E9E">
            <w:pPr>
              <w:keepNext/>
              <w:keepLines/>
              <w:spacing w:after="0" w:line="240" w:lineRule="auto"/>
            </w:pPr>
          </w:p>
        </w:tc>
        <w:tc>
          <w:tcPr>
            <w:tcW w:w="3180" w:type="dxa"/>
            <w:tcMar>
              <w:top w:w="0" w:type="dxa"/>
              <w:bottom w:w="0" w:type="dxa"/>
            </w:tcMar>
            <w:vAlign w:val="center"/>
          </w:tcPr>
          <w:p w14:paraId="27A1200D" w14:textId="77777777" w:rsidR="00BC7E9E"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B574885" w14:textId="77777777" w:rsidR="00BC7E9E" w:rsidRDefault="00000000">
            <w:pPr>
              <w:keepNext/>
              <w:keepLines/>
              <w:spacing w:after="0" w:line="240" w:lineRule="auto"/>
            </w:pPr>
            <w:r>
              <w:rPr>
                <w:b/>
                <w:sz w:val="18"/>
              </w:rPr>
              <w:t>Y005</w:t>
            </w:r>
          </w:p>
        </w:tc>
        <w:tc>
          <w:tcPr>
            <w:tcW w:w="1860" w:type="dxa"/>
            <w:tcMar>
              <w:top w:w="0" w:type="dxa"/>
              <w:bottom w:w="0" w:type="dxa"/>
            </w:tcMar>
            <w:vAlign w:val="center"/>
          </w:tcPr>
          <w:p w14:paraId="0E860032" w14:textId="77777777" w:rsidR="00BC7E9E" w:rsidRDefault="00000000">
            <w:pPr>
              <w:keepNext/>
              <w:keepLines/>
              <w:spacing w:after="0" w:line="240" w:lineRule="auto"/>
              <w:jc w:val="right"/>
            </w:pPr>
            <w:r>
              <w:rPr>
                <w:b/>
                <w:sz w:val="18"/>
              </w:rPr>
              <w:t>7.530,08</w:t>
            </w:r>
          </w:p>
        </w:tc>
        <w:tc>
          <w:tcPr>
            <w:tcW w:w="1860" w:type="dxa"/>
            <w:tcMar>
              <w:top w:w="0" w:type="dxa"/>
              <w:bottom w:w="0" w:type="dxa"/>
            </w:tcMar>
            <w:vAlign w:val="center"/>
          </w:tcPr>
          <w:p w14:paraId="45C2249A" w14:textId="77777777" w:rsidR="00BC7E9E" w:rsidRDefault="00000000">
            <w:pPr>
              <w:keepNext/>
              <w:keepLines/>
              <w:spacing w:after="0" w:line="240" w:lineRule="auto"/>
              <w:jc w:val="right"/>
            </w:pPr>
            <w:r>
              <w:rPr>
                <w:b/>
                <w:sz w:val="18"/>
              </w:rPr>
              <w:t>193.506,28</w:t>
            </w:r>
          </w:p>
        </w:tc>
        <w:tc>
          <w:tcPr>
            <w:tcW w:w="700" w:type="dxa"/>
            <w:tcMar>
              <w:top w:w="0" w:type="dxa"/>
              <w:bottom w:w="0" w:type="dxa"/>
            </w:tcMar>
            <w:vAlign w:val="center"/>
          </w:tcPr>
          <w:p w14:paraId="440308C1" w14:textId="77777777" w:rsidR="00BC7E9E" w:rsidRDefault="00000000">
            <w:pPr>
              <w:keepNext/>
              <w:keepLines/>
              <w:spacing w:after="0" w:line="240" w:lineRule="auto"/>
              <w:jc w:val="right"/>
            </w:pPr>
            <w:r>
              <w:rPr>
                <w:b/>
                <w:sz w:val="18"/>
              </w:rPr>
              <w:t>2569,8</w:t>
            </w:r>
          </w:p>
        </w:tc>
      </w:tr>
    </w:tbl>
    <w:p w14:paraId="460DD086" w14:textId="77777777" w:rsidR="00BC7E9E" w:rsidRDefault="00BC7E9E">
      <w:pPr>
        <w:spacing w:after="0"/>
      </w:pPr>
    </w:p>
    <w:p w14:paraId="1B056F63" w14:textId="77777777" w:rsidR="00BC7E9E" w:rsidRDefault="00000000">
      <w:r>
        <w:t> </w:t>
      </w:r>
    </w:p>
    <w:p w14:paraId="3A8EE01D" w14:textId="20282794" w:rsidR="00BC7E9E" w:rsidRDefault="00000000">
      <w:pPr>
        <w:jc w:val="both"/>
      </w:pPr>
      <w:r>
        <w:t xml:space="preserve">Prihodi u izvještajnom razdoblju bilježe rast od 14,91%u odnosu na isto izvještajno razdoblje prošle godine. Najveći udio imaju prihodi od nadležnog Ministarstva u iznosu od 573.253,23 EUR i odnose se na plaće i materijalna prava zaposlenih, te materijalne troškove poslovanja. Značajan udio u prihodima čine pomoći iz inozemstva i od subjekata unutar općeg proračuna u iznosu od 286.277,29 EUR, što predstavlja povećanje za 34,00% u odnosu na  2025. godinu. </w:t>
      </w:r>
      <w:r>
        <w:lastRenderedPageBreak/>
        <w:t>Većinu ovih prihoda čine prijenosi sredstava po EU projektima iz programa Erasmus + i Programa prekogranične suradnje Italija-Hrvatska 2021-2027. Dodatno, Veleučilište je ostvarilo povećanje prihoda od pruženih usluga, te tekućih do</w:t>
      </w:r>
      <w:r w:rsidR="008643C2">
        <w:t>na</w:t>
      </w:r>
      <w:r>
        <w:t>cija, dok su prihodi po posebnim propisima koji se u najvećem dijelu odnose na školarine ostali na prošlogodišnjoj razini. Povećanje prihoda prati i povećanje rashoda poslovanja, ali u većem opsegu što rezultira manjkom prihoda poslovanja u izvještajnom razdoblju u iznosu od 164.058,05 EUR-a. Iako povećanje rashoda bilježimo na većini pozicija rashoda poslovanja, značajnije povećanje rashoda evidentirano je  na rashodima za intelektualne i osobne usluge zbog povećanog broja vanjskih suradnika potrebnih za održavanje nastave, osobito na stručnom prijediplomskom studiju Sestrinstva i Računarstva. Također, rashodi za pomoći dane u inozemstvo i unutra općeg proračuna iznose 270.655,11 EUR-a, što je povećanje 204,40% u odnosu na isto razdoblje prošle godine. Unutar navedenog iznosa nalazi se i iznos od 83.754,00 EUR-a, koji je u siječnju 2026. godine prenesen partnerima po Projektu 2024-1-HR01-KA220-VET-000243564 Smart4Food, a koji je značajno doprinio manjku prihoda poslovanja iz razloga što je prihod po navedenom projektu priznat u 2024. godini.</w:t>
      </w:r>
    </w:p>
    <w:p w14:paraId="1188533E" w14:textId="1A38BD9B" w:rsidR="00BC7E9E" w:rsidRDefault="00000000">
      <w:pPr>
        <w:jc w:val="both"/>
      </w:pPr>
      <w:r>
        <w:t>Rashodi za nefinancijsku imovinu u iznosu od 27.174,57 EUR-a odnose se na nabavu uređaja i opreme za opremanje predavaonica i ureda. U prosincu 2024. nabavljen je osobni automobil putem Ugovora o financijskom leasingu vrijednosti 27.975,53 EUR-a, te se manjak od financijske imovine i zaduživanja u iznosu od 2.273,66 EUR odnosi na otplatu glavnice za isti.</w:t>
      </w:r>
    </w:p>
    <w:p w14:paraId="35EE2BBE" w14:textId="77777777" w:rsidR="00BC7E9E" w:rsidRDefault="00000000">
      <w:pPr>
        <w:jc w:val="both"/>
      </w:pPr>
      <w:r>
        <w:t> </w:t>
      </w:r>
    </w:p>
    <w:p w14:paraId="0D10F709" w14:textId="0DCE925E" w:rsidR="00BC7E9E" w:rsidRDefault="00BC7E9E"/>
    <w:p w14:paraId="5EE1D408" w14:textId="77777777" w:rsidR="00BC7E9E" w:rsidRDefault="00000000">
      <w:pPr>
        <w:keepNext/>
        <w:spacing w:line="240" w:lineRule="auto"/>
        <w:jc w:val="center"/>
      </w:pPr>
      <w:r>
        <w:rPr>
          <w:b/>
          <w:sz w:val="28"/>
        </w:rPr>
        <w:t>Izvještaj o obvezama</w:t>
      </w:r>
    </w:p>
    <w:p w14:paraId="189026DA" w14:textId="77777777" w:rsidR="00BC7E9E"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C7E9E" w14:paraId="5BAA08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2F3AE8" w14:textId="77777777" w:rsidR="00BC7E9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F3BB96" w14:textId="77777777" w:rsidR="00BC7E9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703325" w14:textId="77777777" w:rsidR="00BC7E9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67017D" w14:textId="77777777" w:rsidR="00BC7E9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5B0D361" w14:textId="77777777" w:rsidR="00BC7E9E" w:rsidRDefault="00000000">
            <w:pPr>
              <w:keepNext/>
              <w:keepLines/>
              <w:spacing w:after="0" w:line="240" w:lineRule="auto"/>
              <w:jc w:val="center"/>
            </w:pPr>
            <w:r>
              <w:rPr>
                <w:b/>
                <w:sz w:val="18"/>
              </w:rPr>
              <w:t>Indeks (%)</w:t>
            </w:r>
          </w:p>
        </w:tc>
      </w:tr>
      <w:tr w:rsidR="00BC7E9E" w14:paraId="5D41EA3A" w14:textId="77777777">
        <w:tblPrEx>
          <w:tblCellMar>
            <w:top w:w="0" w:type="dxa"/>
            <w:bottom w:w="0" w:type="dxa"/>
          </w:tblCellMar>
        </w:tblPrEx>
        <w:trPr>
          <w:cantSplit/>
          <w:trHeight w:val="560"/>
        </w:trPr>
        <w:tc>
          <w:tcPr>
            <w:tcW w:w="700" w:type="dxa"/>
            <w:tcMar>
              <w:top w:w="0" w:type="dxa"/>
              <w:bottom w:w="0" w:type="dxa"/>
            </w:tcMar>
            <w:vAlign w:val="center"/>
          </w:tcPr>
          <w:p w14:paraId="2509962C" w14:textId="77777777" w:rsidR="00BC7E9E" w:rsidRDefault="00BC7E9E">
            <w:pPr>
              <w:keepNext/>
              <w:keepLines/>
              <w:spacing w:after="0" w:line="240" w:lineRule="auto"/>
            </w:pPr>
          </w:p>
        </w:tc>
        <w:tc>
          <w:tcPr>
            <w:tcW w:w="3180" w:type="dxa"/>
            <w:tcMar>
              <w:top w:w="0" w:type="dxa"/>
              <w:bottom w:w="0" w:type="dxa"/>
            </w:tcMar>
            <w:vAlign w:val="center"/>
          </w:tcPr>
          <w:p w14:paraId="7BD2E34F" w14:textId="77777777" w:rsidR="00BC7E9E"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46738EB" w14:textId="77777777" w:rsidR="00BC7E9E" w:rsidRDefault="00000000">
            <w:pPr>
              <w:keepNext/>
              <w:keepLines/>
              <w:spacing w:after="0" w:line="240" w:lineRule="auto"/>
            </w:pPr>
            <w:r>
              <w:rPr>
                <w:sz w:val="18"/>
              </w:rPr>
              <w:t>V007</w:t>
            </w:r>
          </w:p>
        </w:tc>
        <w:tc>
          <w:tcPr>
            <w:tcW w:w="1860" w:type="dxa"/>
            <w:tcMar>
              <w:top w:w="0" w:type="dxa"/>
              <w:bottom w:w="0" w:type="dxa"/>
            </w:tcMar>
            <w:vAlign w:val="center"/>
          </w:tcPr>
          <w:p w14:paraId="66FF8CE0" w14:textId="77777777" w:rsidR="00BC7E9E" w:rsidRDefault="00000000">
            <w:pPr>
              <w:keepNext/>
              <w:keepLines/>
              <w:spacing w:after="0" w:line="240" w:lineRule="auto"/>
              <w:jc w:val="right"/>
            </w:pPr>
            <w:r>
              <w:rPr>
                <w:sz w:val="18"/>
              </w:rPr>
              <w:t>732,50</w:t>
            </w:r>
          </w:p>
        </w:tc>
        <w:tc>
          <w:tcPr>
            <w:tcW w:w="700" w:type="dxa"/>
            <w:tcMar>
              <w:top w:w="0" w:type="dxa"/>
              <w:bottom w:w="0" w:type="dxa"/>
            </w:tcMar>
            <w:vAlign w:val="center"/>
          </w:tcPr>
          <w:p w14:paraId="74CC50BA" w14:textId="77777777" w:rsidR="00BC7E9E" w:rsidRDefault="00000000">
            <w:pPr>
              <w:keepNext/>
              <w:keepLines/>
              <w:spacing w:after="0" w:line="240" w:lineRule="auto"/>
              <w:jc w:val="right"/>
            </w:pPr>
            <w:r>
              <w:rPr>
                <w:sz w:val="18"/>
              </w:rPr>
              <w:t>-</w:t>
            </w:r>
          </w:p>
        </w:tc>
      </w:tr>
    </w:tbl>
    <w:p w14:paraId="44C39A3F" w14:textId="77777777" w:rsidR="00BC7E9E" w:rsidRDefault="00BC7E9E">
      <w:pPr>
        <w:spacing w:after="0"/>
      </w:pPr>
    </w:p>
    <w:p w14:paraId="1F01414C" w14:textId="77777777" w:rsidR="00BC7E9E" w:rsidRDefault="00000000">
      <w:pPr>
        <w:jc w:val="both"/>
      </w:pPr>
      <w:r>
        <w:t>Stanje obveza na dan 1. siječnja 2026. iznose 260.026,29 EUR-a, te je usklađen sa iznosom iskazanim u izvještaju o obvezama za prethodnu godinu.</w:t>
      </w:r>
    </w:p>
    <w:p w14:paraId="0E32D55B" w14:textId="68E084DE" w:rsidR="00BC7E9E" w:rsidRDefault="00000000">
      <w:pPr>
        <w:jc w:val="both"/>
      </w:pPr>
      <w:r>
        <w:t xml:space="preserve">Na kraju izvještajnog razdoblja stanje nepodmirenih obveza iznosi 239.926,79 EUR, od čega je 732,50 EUR u dospijeću. Dospjele obveze odnose se na obveze za materijalne rashode iz ožujka. Sve dospjele obveze podmirene su početkom travnja 2026. godine. Nedospjeli iznos od 239.194,29 EUR sastoji se 195.138,02 EUR rashoda za poslovanje unutar kojeg obveze za plaću i materijalna prava radnika za ožujak 2026. godine iznose 164.827,08 EUR-a. Ostatak se odnosi na obveze za nabavu nefinancijske imovine u iznosu od 497,39 EUR-a , obveze za financijski leasing u iznosu od 16.956,18 EUR-a, te 24.097,80 EUR obveza za predujmove, </w:t>
      </w:r>
      <w:proofErr w:type="spellStart"/>
      <w:r>
        <w:t>jamčevne</w:t>
      </w:r>
      <w:proofErr w:type="spellEnd"/>
      <w:r>
        <w:t xml:space="preserve"> </w:t>
      </w:r>
      <w:proofErr w:type="spellStart"/>
      <w:r>
        <w:t>pologe</w:t>
      </w:r>
      <w:proofErr w:type="spellEnd"/>
      <w:r>
        <w:t xml:space="preserve"> i tuđe prihode. </w:t>
      </w:r>
    </w:p>
    <w:p w14:paraId="4F2FC83E" w14:textId="77777777" w:rsidR="00BC7E9E" w:rsidRDefault="00000000">
      <w:pPr>
        <w:jc w:val="both"/>
      </w:pPr>
      <w:r>
        <w:t>Stanje međusobnih obveza proračunskih korisnika iznosi 2.504,90 EUR-a i odnosi se na potraživanje od HZZO za bolovanja preko 42 dana koja još nisu refundirana.</w:t>
      </w:r>
    </w:p>
    <w:p w14:paraId="3AE3B67E" w14:textId="77777777" w:rsidR="00BC7E9E" w:rsidRDefault="00000000">
      <w:pPr>
        <w:keepNext/>
        <w:spacing w:line="240" w:lineRule="auto"/>
        <w:jc w:val="center"/>
      </w:pPr>
      <w:r>
        <w:rPr>
          <w:sz w:val="28"/>
        </w:rPr>
        <w:lastRenderedPageBreak/>
        <w:t>Bilješka 3.</w:t>
      </w:r>
    </w:p>
    <w:p w14:paraId="4CDCDFD5" w14:textId="77777777" w:rsidR="00BC7E9E" w:rsidRDefault="00000000">
      <w:pPr>
        <w:spacing w:line="240" w:lineRule="auto"/>
        <w:jc w:val="both"/>
      </w:pPr>
      <w:r>
        <w:rPr>
          <w:b/>
        </w:rPr>
        <w:t>EU izvještaj</w:t>
      </w:r>
    </w:p>
    <w:p w14:paraId="5083C2F9" w14:textId="77777777" w:rsidR="00BC7E9E" w:rsidRDefault="00000000">
      <w:r>
        <w:t>Izvor financiranja 563- Europski fond za regionalni razvoj</w:t>
      </w:r>
    </w:p>
    <w:p w14:paraId="69DBA711" w14:textId="77777777" w:rsidR="00BC7E9E" w:rsidRDefault="00000000">
      <w:pPr>
        <w:jc w:val="both"/>
      </w:pPr>
      <w:r>
        <w:t xml:space="preserve">Na izvoru financiranja 563-Europski fond za regionalni razvoj Veleučilište ima sklopljen Ugovor za projekt </w:t>
      </w:r>
      <w:proofErr w:type="spellStart"/>
      <w:r>
        <w:t>MareSkill</w:t>
      </w:r>
      <w:proofErr w:type="spellEnd"/>
      <w:r>
        <w:t xml:space="preserve"> - Smart </w:t>
      </w:r>
      <w:proofErr w:type="spellStart"/>
      <w:r>
        <w:t>and</w:t>
      </w:r>
      <w:proofErr w:type="spellEnd"/>
      <w:r>
        <w:t xml:space="preserve"> </w:t>
      </w:r>
      <w:proofErr w:type="spellStart"/>
      <w:r>
        <w:t>innovative</w:t>
      </w:r>
      <w:proofErr w:type="spellEnd"/>
      <w:r>
        <w:t xml:space="preserve"> </w:t>
      </w:r>
      <w:proofErr w:type="spellStart"/>
      <w:r>
        <w:t>blue</w:t>
      </w:r>
      <w:proofErr w:type="spellEnd"/>
      <w:r>
        <w:t xml:space="preserve"> </w:t>
      </w:r>
      <w:proofErr w:type="spellStart"/>
      <w:r>
        <w:t>skills</w:t>
      </w:r>
      <w:proofErr w:type="spellEnd"/>
      <w:r>
        <w:t xml:space="preserve"> for </w:t>
      </w:r>
      <w:proofErr w:type="spellStart"/>
      <w:r>
        <w:t>competitive</w:t>
      </w:r>
      <w:proofErr w:type="spellEnd"/>
      <w:r>
        <w:t xml:space="preserve"> </w:t>
      </w:r>
      <w:proofErr w:type="spellStart"/>
      <w:r>
        <w:t>blue</w:t>
      </w:r>
      <w:proofErr w:type="spellEnd"/>
      <w:r>
        <w:t xml:space="preserve"> </w:t>
      </w:r>
      <w:proofErr w:type="spellStart"/>
      <w:r>
        <w:t>economy</w:t>
      </w:r>
      <w:proofErr w:type="spellEnd"/>
      <w:r>
        <w:t xml:space="preserve"> iz </w:t>
      </w:r>
      <w:proofErr w:type="spellStart"/>
      <w:r>
        <w:t>operatinvnog</w:t>
      </w:r>
      <w:proofErr w:type="spellEnd"/>
      <w:r>
        <w:t xml:space="preserve"> programa INTERREG Italija - Hrvatska 2021. - 2027.Veleučilište u Šibeniku je vodeći partner na projektu čija ukupna vrijednost iznosi 1.382.552,84 EUR, dok je proračun VUŠ-a na projektu 247.529,30 EUR. Razdoblje provedbe projekta je od 1. travnja 2024. godine do 30. rujna 2026.godine, a ostali partneri na projektu su Sveučilište u Zadru, Sveučilište u Rijeci, Hrvatska gospodarska komora, </w:t>
      </w:r>
      <w:proofErr w:type="spellStart"/>
      <w:r>
        <w:t>Fenice</w:t>
      </w:r>
      <w:proofErr w:type="spellEnd"/>
      <w:r>
        <w:t xml:space="preserve"> </w:t>
      </w:r>
      <w:proofErr w:type="spellStart"/>
      <w:r>
        <w:t>Foundation</w:t>
      </w:r>
      <w:proofErr w:type="spellEnd"/>
      <w:r>
        <w:t xml:space="preserve"> NGO (ITA), Regional </w:t>
      </w:r>
      <w:proofErr w:type="spellStart"/>
      <w:r>
        <w:t>Agency</w:t>
      </w:r>
      <w:proofErr w:type="spellEnd"/>
      <w:r>
        <w:t xml:space="preserve"> for Technology </w:t>
      </w:r>
      <w:proofErr w:type="spellStart"/>
      <w:r>
        <w:t>and</w:t>
      </w:r>
      <w:proofErr w:type="spellEnd"/>
      <w:r>
        <w:t xml:space="preserve"> </w:t>
      </w:r>
      <w:proofErr w:type="spellStart"/>
      <w:r>
        <w:t>Innovation</w:t>
      </w:r>
      <w:proofErr w:type="spellEnd"/>
      <w:r>
        <w:t xml:space="preserve"> - ARTI (ITA), National Institute </w:t>
      </w:r>
      <w:proofErr w:type="spellStart"/>
      <w:r>
        <w:t>of</w:t>
      </w:r>
      <w:proofErr w:type="spellEnd"/>
      <w:r>
        <w:t xml:space="preserve"> </w:t>
      </w:r>
      <w:proofErr w:type="spellStart"/>
      <w:r>
        <w:t>Oceanography</w:t>
      </w:r>
      <w:proofErr w:type="spellEnd"/>
      <w:r>
        <w:t xml:space="preserve"> </w:t>
      </w:r>
      <w:proofErr w:type="spellStart"/>
      <w:r>
        <w:t>and</w:t>
      </w:r>
      <w:proofErr w:type="spellEnd"/>
      <w:r>
        <w:t xml:space="preserve"> Applied </w:t>
      </w:r>
      <w:proofErr w:type="spellStart"/>
      <w:r>
        <w:t>Geophysics</w:t>
      </w:r>
      <w:proofErr w:type="spellEnd"/>
      <w:r>
        <w:t xml:space="preserve"> - OGS (ITA), University </w:t>
      </w:r>
      <w:proofErr w:type="spellStart"/>
      <w:r>
        <w:t>of</w:t>
      </w:r>
      <w:proofErr w:type="spellEnd"/>
      <w:r>
        <w:t xml:space="preserve"> </w:t>
      </w:r>
      <w:proofErr w:type="spellStart"/>
      <w:r>
        <w:t>Trieste</w:t>
      </w:r>
      <w:proofErr w:type="spellEnd"/>
      <w:r>
        <w:t xml:space="preserve"> (ITA).</w:t>
      </w:r>
    </w:p>
    <w:p w14:paraId="2AA5247F" w14:textId="77777777" w:rsidR="00BC7E9E" w:rsidRDefault="00000000">
      <w:pPr>
        <w:jc w:val="both"/>
      </w:pPr>
      <w:r>
        <w:t>U toku 2026. godine Veleučilište je primilo 257.810,74 EUR-a za treće izvještajno razdoblje. Od navedenog iznosa projektnim partnerima je proslijeđeno 212.600,94 EUR-a. Od ostalih rashoda u izvještajnom razdoblju naknade plaća zaposlenicima koji rade na projektu iznose 5.713,00 EUR-a, dok je na materijalne rashode utrošeno 3.413,70 EUR-a. </w:t>
      </w:r>
    </w:p>
    <w:p w14:paraId="1C75F681" w14:textId="77777777" w:rsidR="00BC7E9E" w:rsidRDefault="00000000">
      <w:pPr>
        <w:jc w:val="both"/>
      </w:pPr>
      <w:r>
        <w:t>510-Programi Unije</w:t>
      </w:r>
    </w:p>
    <w:p w14:paraId="747E6896" w14:textId="77777777" w:rsidR="00BC7E9E" w:rsidRDefault="00000000">
      <w:pPr>
        <w:jc w:val="both"/>
      </w:pPr>
      <w:r>
        <w:t>Veleučilište u Šibeniku je jedan od partnera na projektu pod nazivom "SIT - SUSTAINABILITY IN TCLF (</w:t>
      </w:r>
      <w:proofErr w:type="spellStart"/>
      <w:r>
        <w:t>Textiles</w:t>
      </w:r>
      <w:proofErr w:type="spellEnd"/>
      <w:r>
        <w:t xml:space="preserve">, </w:t>
      </w:r>
      <w:proofErr w:type="spellStart"/>
      <w:r>
        <w:t>Clothing</w:t>
      </w:r>
      <w:proofErr w:type="spellEnd"/>
      <w:r>
        <w:t xml:space="preserve">, </w:t>
      </w:r>
      <w:proofErr w:type="spellStart"/>
      <w:r>
        <w:t>Leather</w:t>
      </w:r>
      <w:proofErr w:type="spellEnd"/>
      <w:r>
        <w:t xml:space="preserve">, </w:t>
      </w:r>
      <w:proofErr w:type="spellStart"/>
      <w:r>
        <w:t>Footwear</w:t>
      </w:r>
      <w:proofErr w:type="spellEnd"/>
      <w:r>
        <w:t xml:space="preserve">)" u sklopu Erasmus+ </w:t>
      </w:r>
      <w:proofErr w:type="spellStart"/>
      <w:r>
        <w:t>Innovation</w:t>
      </w:r>
      <w:proofErr w:type="spellEnd"/>
      <w:r>
        <w:t xml:space="preserve"> </w:t>
      </w:r>
      <w:proofErr w:type="spellStart"/>
      <w:r>
        <w:t>Alliance</w:t>
      </w:r>
      <w:proofErr w:type="spellEnd"/>
      <w:r>
        <w:t xml:space="preserve"> programa. U siječnju 2026. za drugo izvještajno razdoblje Veleučilište je zaprimilo uplatu od 20.915,60 EUR-a.</w:t>
      </w:r>
    </w:p>
    <w:p w14:paraId="307F2566" w14:textId="076C999D" w:rsidR="00BC7E9E" w:rsidRDefault="00000000">
      <w:pPr>
        <w:jc w:val="both"/>
      </w:pPr>
      <w:r>
        <w:t>Krajem 2025.godine sklopljena su dva nova Ugovora Erasmus +</w:t>
      </w:r>
      <w:r w:rsidR="000C6C67">
        <w:t xml:space="preserve"> </w:t>
      </w:r>
      <w:r>
        <w:t>(</w:t>
      </w:r>
      <w:proofErr w:type="spellStart"/>
      <w:r>
        <w:t>Cooperation</w:t>
      </w:r>
      <w:proofErr w:type="spellEnd"/>
      <w:r>
        <w:t xml:space="preserve"> </w:t>
      </w:r>
      <w:proofErr w:type="spellStart"/>
      <w:r>
        <w:t>partnerships</w:t>
      </w:r>
      <w:proofErr w:type="spellEnd"/>
      <w:r>
        <w:t xml:space="preserve"> </w:t>
      </w:r>
      <w:proofErr w:type="spellStart"/>
      <w:r>
        <w:t>in</w:t>
      </w:r>
      <w:proofErr w:type="spellEnd"/>
      <w:r>
        <w:t xml:space="preserve"> </w:t>
      </w:r>
      <w:proofErr w:type="spellStart"/>
      <w:r>
        <w:t>higher</w:t>
      </w:r>
      <w:proofErr w:type="spellEnd"/>
      <w:r>
        <w:t xml:space="preserve"> </w:t>
      </w:r>
      <w:proofErr w:type="spellStart"/>
      <w:r>
        <w:t>education</w:t>
      </w:r>
      <w:proofErr w:type="spellEnd"/>
      <w:r>
        <w:t xml:space="preserve"> -KA220-HED) na kojima je Veleučilište partner. Po navedenim Ugovorima u 2025.godini zaprimljen je predujam u </w:t>
      </w:r>
      <w:r w:rsidR="00F17070">
        <w:t>iznosu</w:t>
      </w:r>
      <w:r>
        <w:t xml:space="preserve"> od 25.988,00 EUR-a. Od navedenog iznosa u 2026. godini </w:t>
      </w:r>
      <w:r w:rsidR="000C6C67">
        <w:t>priznali</w:t>
      </w:r>
      <w:r>
        <w:t xml:space="preserve"> smo prihod u iznosu od 7.550,95 EUR-a.</w:t>
      </w:r>
    </w:p>
    <w:p w14:paraId="18CA8AE8" w14:textId="77777777" w:rsidR="00BC7E9E" w:rsidRDefault="00000000">
      <w:pPr>
        <w:jc w:val="both"/>
      </w:pPr>
      <w:r>
        <w:t>Veleučilište u Šibeniku je koordinator projektnog konzorcija ERASMUS+ KA2 VET projekta - Partnerstva za suradnju u strukovnom obrazovanju i usavršavanju (Projekt 2024-1-HR01-KA220-VET-000243564 Smart4Food). . Trajanje projekta: 01.11.2024. - 31.10.2026. Ukupan proračun projekta je 250.000,00 EUR-a, od čega na VUŠ otpada 40.615,00 EUR-a. AMPEU je u 2024. godini doznačio 80 % sredstava, odnosno 200.000,00 EUR-a. Projektnim partnerima za drugo izvještajno razdoblje u siječnju 2026. godine isplaćeno je 83.754,00 EUR-a.</w:t>
      </w:r>
    </w:p>
    <w:p w14:paraId="2D3F9962" w14:textId="77777777" w:rsidR="00BC7E9E" w:rsidRDefault="00000000">
      <w:pPr>
        <w:jc w:val="both"/>
      </w:pPr>
      <w:r>
        <w:t>Rashodi za dolazne studente iz Ukrajine po Erasmus + programu iznose 48.830,00 EUR-a, dok je u izvještajnom razdoblju trošak naknada za zaposlenike po Erasmus+ programu iznosio 11.335,27 EUR-a. Od ostalih značajnih rashoda u izvještajnom razdoblju treba spomenuti naknade plaća zaposlenicima koji rade na projektima u iznosu od 5.420,00 EUR-a, te troškove službenih putovanja u iznosu od 14.287,87 EUR-a.</w:t>
      </w:r>
    </w:p>
    <w:p w14:paraId="7BEC19CB" w14:textId="77777777" w:rsidR="00BC7E9E" w:rsidRDefault="00000000">
      <w:pPr>
        <w:jc w:val="both"/>
      </w:pPr>
      <w:r>
        <w:t> </w:t>
      </w:r>
    </w:p>
    <w:p w14:paraId="2BA66EBE" w14:textId="77777777" w:rsidR="00BC7E9E" w:rsidRDefault="00000000">
      <w:pPr>
        <w:jc w:val="both"/>
      </w:pPr>
      <w:r>
        <w:t> </w:t>
      </w:r>
    </w:p>
    <w:p w14:paraId="2AF33B61" w14:textId="77777777" w:rsidR="00BC7E9E" w:rsidRDefault="00BC7E9E"/>
    <w:sectPr w:rsidR="00BC7E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9E"/>
    <w:rsid w:val="000C6C67"/>
    <w:rsid w:val="005A1A8C"/>
    <w:rsid w:val="005C2695"/>
    <w:rsid w:val="008643C2"/>
    <w:rsid w:val="00BC7E9E"/>
    <w:rsid w:val="00C9344C"/>
    <w:rsid w:val="00F170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47B5"/>
  <w15:docId w15:val="{982F017E-1D11-46F4-B8D9-16BB9A77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Slavica</dc:creator>
  <cp:lastModifiedBy>Ivana Slavica</cp:lastModifiedBy>
  <cp:revision>7</cp:revision>
  <dcterms:created xsi:type="dcterms:W3CDTF">2026-04-15T13:16:00Z</dcterms:created>
  <dcterms:modified xsi:type="dcterms:W3CDTF">2026-04-15T13:20:00Z</dcterms:modified>
</cp:coreProperties>
</file>